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9159F" w14:textId="02FBBFBD" w:rsidR="006849FB" w:rsidRPr="003B5916" w:rsidRDefault="00892B67" w:rsidP="003B5916">
      <w:pPr>
        <w:pStyle w:val="HagueHeader1"/>
      </w:pPr>
      <w:r w:rsidRPr="003B5916">
        <w:t xml:space="preserve">Commentary: </w:t>
      </w:r>
      <w:r>
        <w:t>District Court Cases</w:t>
      </w:r>
    </w:p>
    <w:p w14:paraId="0ABF57E5" w14:textId="0979EC69" w:rsidR="00E17AFE" w:rsidRPr="00AF2CAE" w:rsidRDefault="000F77A8" w:rsidP="007445C4">
      <w:pPr>
        <w:pStyle w:val="HagueHeader2"/>
      </w:pPr>
      <w:r w:rsidRPr="000F77A8">
        <w:t>Da Silva v. Vieira, No. 6:20-cv-1301-Orl-37GJK, 2020 U.S. Dist. LEXIS 174167 (M.D. Fla. Sep. 23, 2020)</w:t>
      </w:r>
    </w:p>
    <w:p w14:paraId="699BAB94" w14:textId="2929C594" w:rsidR="007445C4" w:rsidRDefault="007445C4" w:rsidP="00AE6CAF">
      <w:pPr>
        <w:pStyle w:val="HagueHeaderBody"/>
      </w:pPr>
      <w:r w:rsidRPr="008F03A7">
        <w:rPr>
          <w:noProof/>
        </w:rPr>
        <mc:AlternateContent>
          <mc:Choice Requires="wps">
            <w:drawing>
              <wp:anchor distT="0" distB="0" distL="114300" distR="114300" simplePos="0" relativeHeight="251659264" behindDoc="0" locked="0" layoutInCell="1" allowOverlap="1" wp14:anchorId="31581258" wp14:editId="369E005D">
                <wp:simplePos x="0" y="0"/>
                <wp:positionH relativeFrom="column">
                  <wp:posOffset>7620</wp:posOffset>
                </wp:positionH>
                <wp:positionV relativeFrom="paragraph">
                  <wp:posOffset>75565</wp:posOffset>
                </wp:positionV>
                <wp:extent cx="2286000" cy="4449445"/>
                <wp:effectExtent l="12700" t="12700" r="12700" b="8255"/>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4449445"/>
                        </a:xfrm>
                        <a:prstGeom prst="rect">
                          <a:avLst/>
                        </a:prstGeom>
                        <a:noFill/>
                        <a:ln w="28575" cmpd="sng">
                          <a:solidFill>
                            <a:srgbClr val="8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75450C" w14:textId="77777777" w:rsidR="00892B67" w:rsidRDefault="00892B67" w:rsidP="00892B67">
                            <w:pPr>
                              <w:pStyle w:val="HagueBoxHeader"/>
                            </w:pPr>
                            <w:r>
                              <w:t>Other District Court Cases</w:t>
                            </w:r>
                          </w:p>
                          <w:p w14:paraId="457BD7D3" w14:textId="77777777" w:rsidR="00963FF4" w:rsidRDefault="00963FF4" w:rsidP="00963FF4">
                            <w:pPr>
                              <w:pStyle w:val="HagueBoxCaseCite"/>
                            </w:pPr>
                            <w:r w:rsidRPr="00E350AA">
                              <w:rPr>
                                <w:b/>
                                <w:bCs/>
                              </w:rPr>
                              <w:t>Adkins v. Adkins</w:t>
                            </w:r>
                            <w:r w:rsidRPr="00E350AA">
                              <w:t>,</w:t>
                            </w:r>
                          </w:p>
                          <w:p w14:paraId="3B13822F" w14:textId="77777777" w:rsidR="00963FF4" w:rsidRDefault="00963FF4" w:rsidP="00963FF4">
                            <w:pPr>
                              <w:pStyle w:val="HagueBoxCaseCite"/>
                              <w:rPr>
                                <w:b/>
                                <w:bCs/>
                              </w:rPr>
                            </w:pPr>
                            <w:r w:rsidRPr="00E350AA">
                              <w:t>No. 19-cv-05535-HSG, 2020 U.S. Dist. LEXIS 207559 (N.D. Cal. Nov. 5, 2020)</w:t>
                            </w:r>
                          </w:p>
                          <w:p w14:paraId="76761851" w14:textId="77777777" w:rsidR="00963FF4" w:rsidRPr="00963FF4" w:rsidRDefault="00963FF4" w:rsidP="00963FF4">
                            <w:pPr>
                              <w:pStyle w:val="HagueBoxCaseCite"/>
                              <w:rPr>
                                <w:b/>
                                <w:bCs/>
                                <w:sz w:val="20"/>
                                <w:szCs w:val="20"/>
                              </w:rPr>
                            </w:pPr>
                          </w:p>
                          <w:p w14:paraId="2B8FD410" w14:textId="77777777" w:rsidR="00963FF4" w:rsidRPr="002C004C" w:rsidRDefault="00963FF4" w:rsidP="00963FF4">
                            <w:pPr>
                              <w:pStyle w:val="HagueBoxCaseCite"/>
                            </w:pPr>
                            <w:r w:rsidRPr="002C004C">
                              <w:rPr>
                                <w:b/>
                                <w:bCs/>
                              </w:rPr>
                              <w:t xml:space="preserve">Wan v. </w:t>
                            </w:r>
                            <w:proofErr w:type="spellStart"/>
                            <w:r w:rsidRPr="002C004C">
                              <w:rPr>
                                <w:b/>
                                <w:bCs/>
                              </w:rPr>
                              <w:t>Debolt</w:t>
                            </w:r>
                            <w:proofErr w:type="spellEnd"/>
                            <w:r w:rsidRPr="002C004C">
                              <w:t>,</w:t>
                            </w:r>
                          </w:p>
                          <w:p w14:paraId="47C72E5F" w14:textId="77777777" w:rsidR="00963FF4" w:rsidRPr="002C004C" w:rsidRDefault="00963FF4" w:rsidP="00963FF4">
                            <w:pPr>
                              <w:pStyle w:val="HagueBoxCaseCite"/>
                              <w:rPr>
                                <w:b/>
                                <w:bCs/>
                              </w:rPr>
                            </w:pPr>
                            <w:r w:rsidRPr="002C004C">
                              <w:t>No. 20-cv-3233, 2020 U.S. Dist. LEXIS 197996 (C.D. Ill. Oct. 26, 2020)</w:t>
                            </w:r>
                          </w:p>
                          <w:p w14:paraId="3F4AD412" w14:textId="77777777" w:rsidR="00963FF4" w:rsidRPr="00963FF4" w:rsidRDefault="00963FF4" w:rsidP="00963FF4">
                            <w:pPr>
                              <w:pStyle w:val="HagueBoxCaseCite"/>
                              <w:rPr>
                                <w:b/>
                                <w:bCs/>
                                <w:sz w:val="20"/>
                                <w:szCs w:val="20"/>
                              </w:rPr>
                            </w:pPr>
                          </w:p>
                          <w:p w14:paraId="34B67D0C" w14:textId="77777777" w:rsidR="00963FF4" w:rsidRDefault="00963FF4" w:rsidP="00963FF4">
                            <w:pPr>
                              <w:pStyle w:val="HagueBoxCaseCite"/>
                            </w:pPr>
                            <w:proofErr w:type="spellStart"/>
                            <w:r w:rsidRPr="00040CBD">
                              <w:rPr>
                                <w:b/>
                                <w:bCs/>
                              </w:rPr>
                              <w:t>Jacquety</w:t>
                            </w:r>
                            <w:proofErr w:type="spellEnd"/>
                            <w:r w:rsidRPr="00040CBD">
                              <w:rPr>
                                <w:b/>
                                <w:bCs/>
                              </w:rPr>
                              <w:t xml:space="preserve"> v. Baptista</w:t>
                            </w:r>
                            <w:r w:rsidRPr="00040CBD">
                              <w:t>,</w:t>
                            </w:r>
                          </w:p>
                          <w:p w14:paraId="57E80C46" w14:textId="77777777" w:rsidR="00963FF4" w:rsidRPr="002C004C" w:rsidRDefault="00963FF4" w:rsidP="00963FF4">
                            <w:pPr>
                              <w:pStyle w:val="HagueBoxCaseCite"/>
                              <w:rPr>
                                <w:b/>
                                <w:bCs/>
                              </w:rPr>
                            </w:pPr>
                            <w:r w:rsidRPr="002C004C">
                              <w:t>19 Civ. 9642 (VM)</w:t>
                            </w:r>
                            <w:r>
                              <w:t>,</w:t>
                            </w:r>
                            <w:r w:rsidRPr="002C004C">
                              <w:t xml:space="preserve"> </w:t>
                            </w:r>
                            <w:r w:rsidRPr="00040CBD">
                              <w:t>2020 WL 5946562 (S.D.N.Y. Oct. 7, 2020)</w:t>
                            </w:r>
                          </w:p>
                          <w:p w14:paraId="5CD8AB75" w14:textId="77777777" w:rsidR="00963FF4" w:rsidRPr="00963FF4" w:rsidRDefault="00963FF4" w:rsidP="00963FF4">
                            <w:pPr>
                              <w:pStyle w:val="HagueBoxCaseCite"/>
                              <w:rPr>
                                <w:b/>
                                <w:bCs/>
                                <w:sz w:val="20"/>
                                <w:szCs w:val="20"/>
                              </w:rPr>
                            </w:pPr>
                          </w:p>
                          <w:p w14:paraId="46FE1DA6" w14:textId="77777777" w:rsidR="00963FF4" w:rsidRDefault="00963FF4" w:rsidP="00963FF4">
                            <w:pPr>
                              <w:pStyle w:val="HagueBoxCaseCite"/>
                              <w:ind w:left="1440" w:hanging="1440"/>
                            </w:pPr>
                            <w:r w:rsidRPr="00E350AA">
                              <w:rPr>
                                <w:b/>
                                <w:bCs/>
                              </w:rPr>
                              <w:t>Trott v. Trott</w:t>
                            </w:r>
                            <w:r w:rsidRPr="00E350AA">
                              <w:t>,</w:t>
                            </w:r>
                          </w:p>
                          <w:p w14:paraId="1DC44E9C" w14:textId="77777777" w:rsidR="00963FF4" w:rsidRPr="002C004C" w:rsidRDefault="00963FF4" w:rsidP="00963FF4">
                            <w:pPr>
                              <w:pStyle w:val="HagueBoxCaseCite"/>
                              <w:rPr>
                                <w:b/>
                                <w:bCs/>
                              </w:rPr>
                            </w:pPr>
                            <w:r w:rsidRPr="00E350AA">
                              <w:t>No. 20-CV-1392 (AMD) (CLP), 2020 U.S. Dist. LEXIS 151818 (E.D.N.Y. Aug. 21, 2020)</w:t>
                            </w:r>
                          </w:p>
                          <w:p w14:paraId="7F368B01" w14:textId="77777777" w:rsidR="00963FF4" w:rsidRPr="00963FF4" w:rsidRDefault="00963FF4" w:rsidP="00963FF4">
                            <w:pPr>
                              <w:pStyle w:val="HagueBoxCaseCite"/>
                              <w:rPr>
                                <w:b/>
                                <w:bCs/>
                                <w:sz w:val="20"/>
                                <w:szCs w:val="20"/>
                              </w:rPr>
                            </w:pPr>
                          </w:p>
                          <w:p w14:paraId="542FDF32" w14:textId="77777777" w:rsidR="00963FF4" w:rsidRDefault="00963FF4" w:rsidP="00963FF4">
                            <w:pPr>
                              <w:pStyle w:val="HagueBoxCaseCite"/>
                            </w:pPr>
                            <w:r w:rsidRPr="00F447F1">
                              <w:rPr>
                                <w:b/>
                                <w:bCs/>
                              </w:rPr>
                              <w:t>Leon v. Ruiz</w:t>
                            </w:r>
                            <w:r w:rsidRPr="00F447F1">
                              <w:t>,</w:t>
                            </w:r>
                          </w:p>
                          <w:p w14:paraId="4B926258" w14:textId="77777777" w:rsidR="00963FF4" w:rsidRDefault="00963FF4" w:rsidP="00963FF4">
                            <w:pPr>
                              <w:pStyle w:val="HagueBoxCaseCite"/>
                              <w:rPr>
                                <w:b/>
                                <w:bCs/>
                              </w:rPr>
                            </w:pPr>
                            <w:r w:rsidRPr="00F447F1">
                              <w:t>No. MO:19-CV-00293-RCG, 2020 U.S. Dist. LEXIS 43758 (W.D. Tex. Mar. 13, 2020)</w:t>
                            </w:r>
                          </w:p>
                          <w:p w14:paraId="6A7FADF5" w14:textId="77777777" w:rsidR="00963FF4" w:rsidRPr="00963FF4" w:rsidRDefault="00963FF4" w:rsidP="00963FF4">
                            <w:pPr>
                              <w:pStyle w:val="HagueBoxCaseCite"/>
                              <w:rPr>
                                <w:b/>
                                <w:bCs/>
                                <w:sz w:val="20"/>
                                <w:szCs w:val="20"/>
                              </w:rPr>
                            </w:pPr>
                          </w:p>
                          <w:p w14:paraId="5AA146F1" w14:textId="77777777" w:rsidR="00963FF4" w:rsidRDefault="00963FF4" w:rsidP="00963FF4">
                            <w:pPr>
                              <w:pStyle w:val="HagueBoxCaseCite"/>
                            </w:pPr>
                            <w:r w:rsidRPr="00232EAF">
                              <w:rPr>
                                <w:b/>
                                <w:bCs/>
                              </w:rPr>
                              <w:t>Cunningham v. Cunningham</w:t>
                            </w:r>
                            <w:r>
                              <w:t>,</w:t>
                            </w:r>
                          </w:p>
                          <w:p w14:paraId="782B7E7D" w14:textId="77777777" w:rsidR="00963FF4" w:rsidRPr="00B113F3" w:rsidRDefault="00963FF4" w:rsidP="00963FF4">
                            <w:pPr>
                              <w:pStyle w:val="HagueBoxCaseCite"/>
                              <w:rPr>
                                <w:lang w:val="sv-SE"/>
                              </w:rPr>
                            </w:pPr>
                            <w:r w:rsidRPr="00B113F3">
                              <w:rPr>
                                <w:lang w:val="sv-SE"/>
                              </w:rPr>
                              <w:t xml:space="preserve">237 F. </w:t>
                            </w:r>
                            <w:proofErr w:type="spellStart"/>
                            <w:r w:rsidRPr="00B113F3">
                              <w:rPr>
                                <w:lang w:val="sv-SE"/>
                              </w:rPr>
                              <w:t>Supp</w:t>
                            </w:r>
                            <w:proofErr w:type="spellEnd"/>
                            <w:r w:rsidRPr="00B113F3">
                              <w:rPr>
                                <w:lang w:val="sv-SE"/>
                              </w:rPr>
                              <w:t>. 3d 1246 (M.D. Fla. 2017)</w:t>
                            </w:r>
                          </w:p>
                          <w:p w14:paraId="3F416EF0" w14:textId="77777777" w:rsidR="00963FF4" w:rsidRPr="00963FF4" w:rsidRDefault="00963FF4" w:rsidP="00963FF4">
                            <w:pPr>
                              <w:pStyle w:val="HagueBoxCaseCite"/>
                              <w:rPr>
                                <w:b/>
                                <w:bCs/>
                                <w:sz w:val="20"/>
                                <w:szCs w:val="20"/>
                              </w:rPr>
                            </w:pPr>
                          </w:p>
                          <w:p w14:paraId="21828DD7" w14:textId="77777777" w:rsidR="00963FF4" w:rsidRDefault="00963FF4" w:rsidP="00963FF4">
                            <w:pPr>
                              <w:pStyle w:val="HagueBoxCaseCite"/>
                              <w:rPr>
                                <w:b/>
                                <w:bCs/>
                              </w:rPr>
                            </w:pPr>
                            <w:r w:rsidRPr="002E3122">
                              <w:rPr>
                                <w:b/>
                                <w:bCs/>
                              </w:rPr>
                              <w:t>Marquez v. Castillo</w:t>
                            </w:r>
                            <w:r w:rsidRPr="009B1F40">
                              <w:rPr>
                                <w:bCs/>
                              </w:rPr>
                              <w:t>,</w:t>
                            </w:r>
                          </w:p>
                          <w:p w14:paraId="5916EFE9" w14:textId="1E2D7A20" w:rsidR="000F0C58" w:rsidRPr="00963FF4" w:rsidRDefault="00963FF4" w:rsidP="00963FF4">
                            <w:pPr>
                              <w:pStyle w:val="HagueBoxCaseCite"/>
                              <w:rPr>
                                <w:b/>
                                <w:bCs/>
                                <w:lang w:val="sv-SE"/>
                              </w:rPr>
                            </w:pPr>
                            <w:r w:rsidRPr="009B1F40">
                              <w:rPr>
                                <w:bCs/>
                                <w:lang w:val="sv-SE"/>
                              </w:rPr>
                              <w:t xml:space="preserve">72 F. </w:t>
                            </w:r>
                            <w:proofErr w:type="spellStart"/>
                            <w:r w:rsidRPr="009B1F40">
                              <w:rPr>
                                <w:bCs/>
                                <w:lang w:val="sv-SE"/>
                              </w:rPr>
                              <w:t>Supp</w:t>
                            </w:r>
                            <w:proofErr w:type="spellEnd"/>
                            <w:r w:rsidRPr="009B1F40">
                              <w:rPr>
                                <w:bCs/>
                                <w:lang w:val="sv-SE"/>
                              </w:rPr>
                              <w:t>. 3d 1280 (M.D. Fla.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1258" id="_x0000_t202" coordsize="21600,21600" o:spt="202" path="m,l,21600r21600,l21600,xe">
                <v:stroke joinstyle="miter"/>
                <v:path gradientshapeok="t" o:connecttype="rect"/>
              </v:shapetype>
              <v:shape id="Text Box 1" o:spid="_x0000_s1026" type="#_x0000_t202" style="position:absolute;margin-left:.6pt;margin-top:5.95pt;width:180pt;height:3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" filled="f" strokecolor="maroon" strokeweight="2.25pt">
                <v:textbox>
                  <w:txbxContent>
                    <w:p w14:paraId="0275450C" w14:textId="77777777" w:rsidR="00892B67" w:rsidRDefault="00892B67" w:rsidP="00892B67">
                      <w:pPr>
                        <w:pStyle w:val="HagueBoxHeader"/>
                      </w:pPr>
                      <w:r>
                        <w:t>Other District Court Cases</w:t>
                      </w:r>
                    </w:p>
                    <w:p w14:paraId="457BD7D3" w14:textId="77777777" w:rsidR="00963FF4" w:rsidRDefault="00963FF4" w:rsidP="00963FF4">
                      <w:pPr>
                        <w:pStyle w:val="HagueBoxCaseCite"/>
                      </w:pPr>
                      <w:r w:rsidRPr="00E350AA">
                        <w:rPr>
                          <w:b/>
                          <w:bCs/>
                        </w:rPr>
                        <w:t>Adkins v. Adkins</w:t>
                      </w:r>
                      <w:r w:rsidRPr="00E350AA">
                        <w:t>,</w:t>
                      </w:r>
                    </w:p>
                    <w:p w14:paraId="3B13822F" w14:textId="77777777" w:rsidR="00963FF4" w:rsidRDefault="00963FF4" w:rsidP="00963FF4">
                      <w:pPr>
                        <w:pStyle w:val="HagueBoxCaseCite"/>
                        <w:rPr>
                          <w:b/>
                          <w:bCs/>
                        </w:rPr>
                      </w:pPr>
                      <w:r w:rsidRPr="00E350AA">
                        <w:t>No. 19-cv-05535-HSG, 2020 U.S. Dist. LEXIS 207559 (N.D. Cal. Nov. 5, 2020)</w:t>
                      </w:r>
                    </w:p>
                    <w:p w14:paraId="76761851" w14:textId="77777777" w:rsidR="00963FF4" w:rsidRPr="00963FF4" w:rsidRDefault="00963FF4" w:rsidP="00963FF4">
                      <w:pPr>
                        <w:pStyle w:val="HagueBoxCaseCite"/>
                        <w:rPr>
                          <w:b/>
                          <w:bCs/>
                          <w:sz w:val="20"/>
                          <w:szCs w:val="20"/>
                        </w:rPr>
                      </w:pPr>
                    </w:p>
                    <w:p w14:paraId="2B8FD410" w14:textId="77777777" w:rsidR="00963FF4" w:rsidRPr="002C004C" w:rsidRDefault="00963FF4" w:rsidP="00963FF4">
                      <w:pPr>
                        <w:pStyle w:val="HagueBoxCaseCite"/>
                      </w:pPr>
                      <w:r w:rsidRPr="002C004C">
                        <w:rPr>
                          <w:b/>
                          <w:bCs/>
                        </w:rPr>
                        <w:t xml:space="preserve">Wan v. </w:t>
                      </w:r>
                      <w:proofErr w:type="spellStart"/>
                      <w:r w:rsidRPr="002C004C">
                        <w:rPr>
                          <w:b/>
                          <w:bCs/>
                        </w:rPr>
                        <w:t>Debolt</w:t>
                      </w:r>
                      <w:proofErr w:type="spellEnd"/>
                      <w:r w:rsidRPr="002C004C">
                        <w:t>,</w:t>
                      </w:r>
                    </w:p>
                    <w:p w14:paraId="47C72E5F" w14:textId="77777777" w:rsidR="00963FF4" w:rsidRPr="002C004C" w:rsidRDefault="00963FF4" w:rsidP="00963FF4">
                      <w:pPr>
                        <w:pStyle w:val="HagueBoxCaseCite"/>
                        <w:rPr>
                          <w:b/>
                          <w:bCs/>
                        </w:rPr>
                      </w:pPr>
                      <w:r w:rsidRPr="002C004C">
                        <w:t>No. 20-cv-3233, 2020 U.S. Dist. LEXIS 197996 (C.D. Ill. Oct. 26, 2020)</w:t>
                      </w:r>
                    </w:p>
                    <w:p w14:paraId="3F4AD412" w14:textId="77777777" w:rsidR="00963FF4" w:rsidRPr="00963FF4" w:rsidRDefault="00963FF4" w:rsidP="00963FF4">
                      <w:pPr>
                        <w:pStyle w:val="HagueBoxCaseCite"/>
                        <w:rPr>
                          <w:b/>
                          <w:bCs/>
                          <w:sz w:val="20"/>
                          <w:szCs w:val="20"/>
                        </w:rPr>
                      </w:pPr>
                    </w:p>
                    <w:p w14:paraId="34B67D0C" w14:textId="77777777" w:rsidR="00963FF4" w:rsidRDefault="00963FF4" w:rsidP="00963FF4">
                      <w:pPr>
                        <w:pStyle w:val="HagueBoxCaseCite"/>
                      </w:pPr>
                      <w:proofErr w:type="spellStart"/>
                      <w:r w:rsidRPr="00040CBD">
                        <w:rPr>
                          <w:b/>
                          <w:bCs/>
                        </w:rPr>
                        <w:t>Jacquety</w:t>
                      </w:r>
                      <w:proofErr w:type="spellEnd"/>
                      <w:r w:rsidRPr="00040CBD">
                        <w:rPr>
                          <w:b/>
                          <w:bCs/>
                        </w:rPr>
                        <w:t xml:space="preserve"> v. Baptista</w:t>
                      </w:r>
                      <w:r w:rsidRPr="00040CBD">
                        <w:t>,</w:t>
                      </w:r>
                    </w:p>
                    <w:p w14:paraId="57E80C46" w14:textId="77777777" w:rsidR="00963FF4" w:rsidRPr="002C004C" w:rsidRDefault="00963FF4" w:rsidP="00963FF4">
                      <w:pPr>
                        <w:pStyle w:val="HagueBoxCaseCite"/>
                        <w:rPr>
                          <w:b/>
                          <w:bCs/>
                        </w:rPr>
                      </w:pPr>
                      <w:r w:rsidRPr="002C004C">
                        <w:t>19 Civ. 9642 (VM)</w:t>
                      </w:r>
                      <w:r>
                        <w:t>,</w:t>
                      </w:r>
                      <w:r w:rsidRPr="002C004C">
                        <w:t xml:space="preserve"> </w:t>
                      </w:r>
                      <w:r w:rsidRPr="00040CBD">
                        <w:t>2020 WL 5946562 (S.D.N.Y. Oct. 7, 2020)</w:t>
                      </w:r>
                    </w:p>
                    <w:p w14:paraId="5CD8AB75" w14:textId="77777777" w:rsidR="00963FF4" w:rsidRPr="00963FF4" w:rsidRDefault="00963FF4" w:rsidP="00963FF4">
                      <w:pPr>
                        <w:pStyle w:val="HagueBoxCaseCite"/>
                        <w:rPr>
                          <w:b/>
                          <w:bCs/>
                          <w:sz w:val="20"/>
                          <w:szCs w:val="20"/>
                        </w:rPr>
                      </w:pPr>
                    </w:p>
                    <w:p w14:paraId="46FE1DA6" w14:textId="77777777" w:rsidR="00963FF4" w:rsidRDefault="00963FF4" w:rsidP="00963FF4">
                      <w:pPr>
                        <w:pStyle w:val="HagueBoxCaseCite"/>
                        <w:ind w:left="1440" w:hanging="1440"/>
                      </w:pPr>
                      <w:r w:rsidRPr="00E350AA">
                        <w:rPr>
                          <w:b/>
                          <w:bCs/>
                        </w:rPr>
                        <w:t>Trott v. Trott</w:t>
                      </w:r>
                      <w:r w:rsidRPr="00E350AA">
                        <w:t>,</w:t>
                      </w:r>
                    </w:p>
                    <w:p w14:paraId="1DC44E9C" w14:textId="77777777" w:rsidR="00963FF4" w:rsidRPr="002C004C" w:rsidRDefault="00963FF4" w:rsidP="00963FF4">
                      <w:pPr>
                        <w:pStyle w:val="HagueBoxCaseCite"/>
                        <w:rPr>
                          <w:b/>
                          <w:bCs/>
                        </w:rPr>
                      </w:pPr>
                      <w:r w:rsidRPr="00E350AA">
                        <w:t>No. 20-CV-1392 (AMD) (CLP), 2020 U.S. Dist. LEXIS 151818 (E.D.N.Y. Aug. 21, 2020)</w:t>
                      </w:r>
                    </w:p>
                    <w:p w14:paraId="7F368B01" w14:textId="77777777" w:rsidR="00963FF4" w:rsidRPr="00963FF4" w:rsidRDefault="00963FF4" w:rsidP="00963FF4">
                      <w:pPr>
                        <w:pStyle w:val="HagueBoxCaseCite"/>
                        <w:rPr>
                          <w:b/>
                          <w:bCs/>
                          <w:sz w:val="20"/>
                          <w:szCs w:val="20"/>
                        </w:rPr>
                      </w:pPr>
                    </w:p>
                    <w:p w14:paraId="542FDF32" w14:textId="77777777" w:rsidR="00963FF4" w:rsidRDefault="00963FF4" w:rsidP="00963FF4">
                      <w:pPr>
                        <w:pStyle w:val="HagueBoxCaseCite"/>
                      </w:pPr>
                      <w:r w:rsidRPr="00F447F1">
                        <w:rPr>
                          <w:b/>
                          <w:bCs/>
                        </w:rPr>
                        <w:t>Leon v. Ruiz</w:t>
                      </w:r>
                      <w:r w:rsidRPr="00F447F1">
                        <w:t>,</w:t>
                      </w:r>
                    </w:p>
                    <w:p w14:paraId="4B926258" w14:textId="77777777" w:rsidR="00963FF4" w:rsidRDefault="00963FF4" w:rsidP="00963FF4">
                      <w:pPr>
                        <w:pStyle w:val="HagueBoxCaseCite"/>
                        <w:rPr>
                          <w:b/>
                          <w:bCs/>
                        </w:rPr>
                      </w:pPr>
                      <w:r w:rsidRPr="00F447F1">
                        <w:t>No. MO:19-CV-00293-RCG, 2020 U.S. Dist. LEXIS 43758 (W.D. Tex. Mar. 13, 2020)</w:t>
                      </w:r>
                    </w:p>
                    <w:p w14:paraId="6A7FADF5" w14:textId="77777777" w:rsidR="00963FF4" w:rsidRPr="00963FF4" w:rsidRDefault="00963FF4" w:rsidP="00963FF4">
                      <w:pPr>
                        <w:pStyle w:val="HagueBoxCaseCite"/>
                        <w:rPr>
                          <w:b/>
                          <w:bCs/>
                          <w:sz w:val="20"/>
                          <w:szCs w:val="20"/>
                        </w:rPr>
                      </w:pPr>
                    </w:p>
                    <w:p w14:paraId="5AA146F1" w14:textId="77777777" w:rsidR="00963FF4" w:rsidRDefault="00963FF4" w:rsidP="00963FF4">
                      <w:pPr>
                        <w:pStyle w:val="HagueBoxCaseCite"/>
                      </w:pPr>
                      <w:r w:rsidRPr="00232EAF">
                        <w:rPr>
                          <w:b/>
                          <w:bCs/>
                        </w:rPr>
                        <w:t>Cunningham v. Cunningham</w:t>
                      </w:r>
                      <w:r>
                        <w:t>,</w:t>
                      </w:r>
                    </w:p>
                    <w:p w14:paraId="782B7E7D" w14:textId="77777777" w:rsidR="00963FF4" w:rsidRPr="00B113F3" w:rsidRDefault="00963FF4" w:rsidP="00963FF4">
                      <w:pPr>
                        <w:pStyle w:val="HagueBoxCaseCite"/>
                        <w:rPr>
                          <w:lang w:val="sv-SE"/>
                        </w:rPr>
                      </w:pPr>
                      <w:r w:rsidRPr="00B113F3">
                        <w:rPr>
                          <w:lang w:val="sv-SE"/>
                        </w:rPr>
                        <w:t xml:space="preserve">237 F. </w:t>
                      </w:r>
                      <w:proofErr w:type="spellStart"/>
                      <w:r w:rsidRPr="00B113F3">
                        <w:rPr>
                          <w:lang w:val="sv-SE"/>
                        </w:rPr>
                        <w:t>Supp</w:t>
                      </w:r>
                      <w:proofErr w:type="spellEnd"/>
                      <w:r w:rsidRPr="00B113F3">
                        <w:rPr>
                          <w:lang w:val="sv-SE"/>
                        </w:rPr>
                        <w:t>. 3d 1246 (M.D. Fla. 2017)</w:t>
                      </w:r>
                    </w:p>
                    <w:p w14:paraId="3F416EF0" w14:textId="77777777" w:rsidR="00963FF4" w:rsidRPr="00963FF4" w:rsidRDefault="00963FF4" w:rsidP="00963FF4">
                      <w:pPr>
                        <w:pStyle w:val="HagueBoxCaseCite"/>
                        <w:rPr>
                          <w:b/>
                          <w:bCs/>
                          <w:sz w:val="20"/>
                          <w:szCs w:val="20"/>
                        </w:rPr>
                      </w:pPr>
                    </w:p>
                    <w:p w14:paraId="21828DD7" w14:textId="77777777" w:rsidR="00963FF4" w:rsidRDefault="00963FF4" w:rsidP="00963FF4">
                      <w:pPr>
                        <w:pStyle w:val="HagueBoxCaseCite"/>
                        <w:rPr>
                          <w:b/>
                          <w:bCs/>
                        </w:rPr>
                      </w:pPr>
                      <w:r w:rsidRPr="002E3122">
                        <w:rPr>
                          <w:b/>
                          <w:bCs/>
                        </w:rPr>
                        <w:t>Marquez v. Castillo</w:t>
                      </w:r>
                      <w:r w:rsidRPr="009B1F40">
                        <w:rPr>
                          <w:bCs/>
                        </w:rPr>
                        <w:t>,</w:t>
                      </w:r>
                    </w:p>
                    <w:p w14:paraId="5916EFE9" w14:textId="1E2D7A20" w:rsidR="000F0C58" w:rsidRPr="00963FF4" w:rsidRDefault="00963FF4" w:rsidP="00963FF4">
                      <w:pPr>
                        <w:pStyle w:val="HagueBoxCaseCite"/>
                        <w:rPr>
                          <w:b/>
                          <w:bCs/>
                          <w:lang w:val="sv-SE"/>
                        </w:rPr>
                      </w:pPr>
                      <w:r w:rsidRPr="009B1F40">
                        <w:rPr>
                          <w:bCs/>
                          <w:lang w:val="sv-SE"/>
                        </w:rPr>
                        <w:t xml:space="preserve">72 F. </w:t>
                      </w:r>
                      <w:proofErr w:type="spellStart"/>
                      <w:r w:rsidRPr="009B1F40">
                        <w:rPr>
                          <w:bCs/>
                          <w:lang w:val="sv-SE"/>
                        </w:rPr>
                        <w:t>Supp</w:t>
                      </w:r>
                      <w:proofErr w:type="spellEnd"/>
                      <w:r w:rsidRPr="009B1F40">
                        <w:rPr>
                          <w:bCs/>
                          <w:lang w:val="sv-SE"/>
                        </w:rPr>
                        <w:t>. 3d 1280 (M.D. Fla. 2014)</w:t>
                      </w:r>
                    </w:p>
                  </w:txbxContent>
                </v:textbox>
                <w10:wrap type="square"/>
              </v:shape>
            </w:pict>
          </mc:Fallback>
        </mc:AlternateContent>
      </w:r>
      <w:r w:rsidR="00963FF4" w:rsidRPr="00963FF4">
        <w:rPr>
          <w:noProof/>
        </w:rPr>
        <w:t>Custody Rights | Grandparent’s Custody Rights | Ne Exeat | Immigration Status | Grave Risk</w:t>
      </w:r>
    </w:p>
    <w:p w14:paraId="1412403C" w14:textId="77777777" w:rsidR="007445C4" w:rsidRDefault="007445C4" w:rsidP="00AE6CAF">
      <w:pPr>
        <w:pStyle w:val="HagueParagraph"/>
      </w:pPr>
    </w:p>
    <w:p w14:paraId="1B36EDC1" w14:textId="6BFF7728" w:rsidR="00EA6EF4" w:rsidRPr="00963FF4" w:rsidRDefault="00963FF4" w:rsidP="00AE6CAF">
      <w:pPr>
        <w:pStyle w:val="HagueParagraph"/>
      </w:pPr>
      <w:r w:rsidRPr="00963FF4">
        <w:t>In this case, a mother wrongfully removed her three children from Brazil under the pretense of visiting family, violating the father’s custody rights. He and his mother, the children’s paternal grandmother who had court-ordered visitation rights, filed a petition for return under the 1980 Hague Convention. The father argued that his incarceration in Brazil for theft-related offenses did not deprive him of the exercise of his ne exeat custody rights, which he had demonstrated by objecting to the mother’s removal of the children to the United States.</w:t>
      </w:r>
    </w:p>
    <w:p w14:paraId="254BC22F" w14:textId="77777777" w:rsidR="00422568" w:rsidRDefault="00422568" w:rsidP="00AE6CAF">
      <w:pPr>
        <w:pStyle w:val="HagueParagraph"/>
      </w:pPr>
    </w:p>
    <w:p w14:paraId="666539F9" w14:textId="77777777" w:rsidR="00E6168F" w:rsidRDefault="00E6168F" w:rsidP="00AE6CAF">
      <w:pPr>
        <w:pStyle w:val="HagueHeaderBody"/>
      </w:pPr>
      <w:r>
        <w:t>Holdings</w:t>
      </w:r>
    </w:p>
    <w:p w14:paraId="546DE870" w14:textId="77777777" w:rsidR="00E6168F" w:rsidRPr="00AE6CAF" w:rsidRDefault="00E6168F" w:rsidP="00AE6CAF">
      <w:pPr>
        <w:pStyle w:val="HagueParagraph"/>
        <w:rPr>
          <w:sz w:val="21"/>
          <w:szCs w:val="21"/>
        </w:rPr>
      </w:pPr>
    </w:p>
    <w:p w14:paraId="177AE882" w14:textId="3B9AA07D" w:rsidR="00E6168F" w:rsidRPr="00963FF4" w:rsidRDefault="00963FF4" w:rsidP="00963FF4">
      <w:pPr>
        <w:jc w:val="both"/>
        <w:rPr>
          <w:rFonts w:eastAsia="Times New Roman" w:cs="Times New Roman"/>
          <w:spacing w:val="-2"/>
          <w:sz w:val="22"/>
          <w:szCs w:val="22"/>
        </w:rPr>
      </w:pPr>
      <w:r w:rsidRPr="00963FF4">
        <w:rPr>
          <w:rFonts w:eastAsia="Times New Roman" w:cs="Times New Roman"/>
          <w:spacing w:val="-2"/>
          <w:sz w:val="22"/>
          <w:szCs w:val="22"/>
        </w:rPr>
        <w:t>The district court held that the paternal grandmother’s court-ordered visitation rights were not enforceable custody rights under the 1980 Convention, but because of the father’s ne exeat parental rights under Brazilian law, he did not forfeit his custody rights despite frequent incarceration. The court also held that the mother failed to establish her proffered defenses of delay and grave risk and ordered the children returned to Brazil.</w:t>
      </w:r>
    </w:p>
    <w:p w14:paraId="61367234" w14:textId="77777777" w:rsidR="00E6168F" w:rsidRPr="00AE6CAF" w:rsidRDefault="00E6168F" w:rsidP="00AE6CAF">
      <w:pPr>
        <w:pStyle w:val="HagueHeaderBody"/>
      </w:pPr>
    </w:p>
    <w:p w14:paraId="00C830D4" w14:textId="77777777" w:rsidR="00422568" w:rsidRDefault="00422568" w:rsidP="00AE6CAF">
      <w:pPr>
        <w:pStyle w:val="HagueHeaderBody"/>
      </w:pPr>
      <w:r>
        <w:t>Facts</w:t>
      </w:r>
    </w:p>
    <w:p w14:paraId="1B05D2C4" w14:textId="77777777" w:rsidR="00422568" w:rsidRDefault="00422568" w:rsidP="00AE6CAF">
      <w:pPr>
        <w:pStyle w:val="HagueParagraph"/>
      </w:pPr>
    </w:p>
    <w:p w14:paraId="3D88D8B0" w14:textId="77777777" w:rsidR="00963FF4" w:rsidRPr="00963FF4" w:rsidRDefault="00963FF4" w:rsidP="00AE6CAF">
      <w:pPr>
        <w:pStyle w:val="HagueParagraph"/>
      </w:pPr>
      <w:r w:rsidRPr="00963FF4">
        <w:t xml:space="preserve">All parties were Brazilian citizens, including the paternal grandmother and the children (aged eight, nine, and ten). The parents divorced in 2014. On one occasion after the divorce, the mother and father argued when he was returning the children from a visit. The argument escalated, and he kicked the mother in the leg. She pressed charges, and he was convicted of assault and sentenced to three months in jail. Later, he was convicted of auto theft and burglary and served another three years in prison. While the father was incarcerated, the mother obtained full custody of the children. But the father’s parental rights were not terminated, and the children spent substantial time with their paternal grandmother. The Brazilian court ratified a written agreement between the mother and the paternal grandmother that set forth the terms of these visits. The grandmother had the children on alternate weekends and some holidays and was able to see the children’s school schedules and participate in school </w:t>
      </w:r>
      <w:r w:rsidRPr="00963FF4">
        <w:lastRenderedPageBreak/>
        <w:t>activities. She also paid child support to the mother. Under the agreement, the mother retained exclusive guardianship of the children.</w:t>
      </w:r>
    </w:p>
    <w:p w14:paraId="45EDB0F4" w14:textId="77777777" w:rsidR="00963FF4" w:rsidRPr="00963FF4" w:rsidRDefault="00963FF4" w:rsidP="00AE6CAF">
      <w:pPr>
        <w:pStyle w:val="HagueParagraph"/>
      </w:pPr>
    </w:p>
    <w:p w14:paraId="4AAA5263" w14:textId="77777777" w:rsidR="00963FF4" w:rsidRPr="00963FF4" w:rsidRDefault="00963FF4" w:rsidP="00AE6CAF">
      <w:pPr>
        <w:pStyle w:val="HagueParagraph"/>
      </w:pPr>
      <w:r w:rsidRPr="00963FF4">
        <w:t>In December 2017, the mother petitioned the Brazilian court for permission to visit family in Orlando, Florida. The father opposed the request, fearing that the mother would refuse to return the children to Brazil, but the court approved the mother’s travel plans. The father appealed. In the intervening months, the father was shot while committing a burglary, leading to his apprehension. He was sentenced to two years in prison. While in prison, he continued to write letters to the children, and they continued to visit their grandmother. The Brazilian court order that permitted the mother to visit Florida with the children was affirmed on appeal, and they left for the United States on February 12, 2019. She did not return to Brazil with the children. On July 22, 2020, seventeen months after the children were removed from Brazil, the father and grandmother filed a Hague petition for return.</w:t>
      </w:r>
    </w:p>
    <w:p w14:paraId="6A5B3503" w14:textId="77777777" w:rsidR="008F03A7" w:rsidRDefault="008F03A7" w:rsidP="00AE6CAF">
      <w:pPr>
        <w:pStyle w:val="HagueParagraph"/>
      </w:pPr>
    </w:p>
    <w:p w14:paraId="480D9772" w14:textId="77777777" w:rsidR="008F03A7" w:rsidRDefault="008F03A7" w:rsidP="00AE6CAF">
      <w:pPr>
        <w:pStyle w:val="HagueHeaderBody"/>
      </w:pPr>
      <w:r>
        <w:t>Discussion</w:t>
      </w:r>
    </w:p>
    <w:p w14:paraId="4C77C4B5" w14:textId="77777777" w:rsidR="008F03A7" w:rsidRDefault="008F03A7" w:rsidP="00AE6CAF">
      <w:pPr>
        <w:pStyle w:val="HagueParagraph"/>
      </w:pPr>
    </w:p>
    <w:p w14:paraId="2D9D644F" w14:textId="77777777" w:rsidR="007E57EC" w:rsidRPr="007E57EC" w:rsidRDefault="007E57EC" w:rsidP="00AE6CAF">
      <w:pPr>
        <w:pStyle w:val="HagueParagraph"/>
      </w:pPr>
      <w:r w:rsidRPr="007E57EC">
        <w:rPr>
          <w:b/>
          <w:bCs/>
        </w:rPr>
        <w:t xml:space="preserve">Custody Rights. </w:t>
      </w:r>
      <w:r w:rsidRPr="007E57EC">
        <w:t>The agreement between the mother and the grandmother authorizing visits with the children granted the grandmother a right of access but not a right of custody. Although the father lost physical custody rights of the children during his incarceration, he retained ne exeat</w:t>
      </w:r>
      <w:r w:rsidRPr="007E57EC">
        <w:rPr>
          <w:vertAlign w:val="superscript"/>
        </w:rPr>
        <w:footnoteReference w:id="1"/>
      </w:r>
      <w:r w:rsidRPr="007E57EC">
        <w:t xml:space="preserve"> parental rights under Brazilian law and could lawfully object to the children’s removal to the United States. Finding that the children had been wrongfully removed from Brazil, the court held that the father established a prima facie case for their return.</w:t>
      </w:r>
    </w:p>
    <w:p w14:paraId="0A1DFBED" w14:textId="77777777" w:rsidR="007E57EC" w:rsidRPr="007E57EC" w:rsidRDefault="007E57EC" w:rsidP="00AE6CAF">
      <w:pPr>
        <w:pStyle w:val="HagueParagraph"/>
      </w:pPr>
    </w:p>
    <w:p w14:paraId="7C146DCC" w14:textId="12A32563" w:rsidR="007E57EC" w:rsidRPr="007E57EC" w:rsidRDefault="007E57EC" w:rsidP="00AE6CAF">
      <w:pPr>
        <w:pStyle w:val="HagueParagraph"/>
      </w:pPr>
      <w:r w:rsidRPr="007E57EC">
        <w:rPr>
          <w:b/>
          <w:bCs/>
        </w:rPr>
        <w:t xml:space="preserve">Well-Settled Defenses. </w:t>
      </w:r>
      <w:r w:rsidRPr="007E57EC">
        <w:t xml:space="preserve">The mother alleged that the children were well settled in the United States and should not be returned to Brazil. The court disagreed, noting that the children changed schools and residences during their time in the United States. The court considered the children’s immigration status a weighty factor in determining whether they were settled: </w:t>
      </w:r>
    </w:p>
    <w:p w14:paraId="42A8CA01" w14:textId="29ACACE1" w:rsidR="007E57EC" w:rsidRPr="007E57EC" w:rsidRDefault="007E57EC" w:rsidP="007E57EC">
      <w:pPr>
        <w:pStyle w:val="HagueBlockQuotation"/>
      </w:pPr>
      <w:r w:rsidRPr="007E57EC">
        <w:t>They have overstayed their tourist visas and while they have applied for asylum, their applications have not been approved nor is there any indication their applications are meritorious</w:t>
      </w:r>
      <w:proofErr w:type="gramStart"/>
      <w:r w:rsidRPr="007E57EC">
        <w:t>.</w:t>
      </w:r>
      <w:r>
        <w:t> </w:t>
      </w:r>
      <w:r w:rsidRPr="007E57EC">
        <w:t>.</w:t>
      </w:r>
      <w:r>
        <w:t> </w:t>
      </w:r>
      <w:r w:rsidRPr="007E57EC">
        <w:t>.</w:t>
      </w:r>
      <w:r>
        <w:t> </w:t>
      </w:r>
      <w:r w:rsidRPr="007E57EC">
        <w:t>.</w:t>
      </w:r>
      <w:proofErr w:type="gramEnd"/>
      <w:r w:rsidRPr="007E57EC">
        <w:t xml:space="preserve"> Being subject to removal at any time contradicts being “settled” no matter how pleasant their current living situation. Given the Mother’s efforts to prevent the Children’s contact with their Brazilian family, the change of schools and residences, and, particularly, the Children’s uncertain immigration status, the Mother has not met her burden of showing the Children are settled in the U.S.</w:t>
      </w:r>
      <w:r w:rsidRPr="007E57EC">
        <w:rPr>
          <w:vertAlign w:val="superscript"/>
        </w:rPr>
        <w:footnoteReference w:id="2"/>
      </w:r>
    </w:p>
    <w:p w14:paraId="74F3357E" w14:textId="07CAC463" w:rsidR="001F1CF0" w:rsidRPr="008F03A7" w:rsidRDefault="007E57EC" w:rsidP="00AE6CAF">
      <w:pPr>
        <w:pStyle w:val="HagueParagraph"/>
      </w:pPr>
      <w:r w:rsidRPr="007E57EC">
        <w:rPr>
          <w:b/>
          <w:bCs/>
        </w:rPr>
        <w:t xml:space="preserve">Grave Risk Defense. </w:t>
      </w:r>
      <w:r w:rsidRPr="007E57EC">
        <w:t xml:space="preserve">The mother argued that the father’s criminal history militated against returning the children. The court disagreed, finding that his criminal history did not involve the children and there was no reason to suspect that a return would threaten their safety. The earlier single incident of assault against the mother did not sufficiently demonstrate a grave risk to the children. </w:t>
      </w:r>
    </w:p>
    <w:sectPr w:rsidR="001F1CF0" w:rsidRPr="008F03A7" w:rsidSect="00D3778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3918B" w14:textId="77777777" w:rsidR="00A95EE9" w:rsidRDefault="00A95EE9" w:rsidP="008E0D13">
      <w:r>
        <w:separator/>
      </w:r>
    </w:p>
  </w:endnote>
  <w:endnote w:type="continuationSeparator" w:id="0">
    <w:p w14:paraId="4D09B551" w14:textId="77777777" w:rsidR="00A95EE9" w:rsidRDefault="00A95EE9" w:rsidP="008E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A54B" w14:textId="77777777" w:rsidR="009B462B" w:rsidRDefault="009B462B" w:rsidP="008E0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61EA4" w14:textId="77777777" w:rsidR="009B462B" w:rsidRDefault="009B462B" w:rsidP="008E0D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A53D" w14:textId="77777777" w:rsidR="009B462B" w:rsidRPr="003B5916" w:rsidRDefault="009B462B" w:rsidP="008E0D13">
    <w:pPr>
      <w:pStyle w:val="Footer"/>
      <w:framePr w:wrap="around" w:vAnchor="text" w:hAnchor="margin" w:xAlign="right" w:y="1"/>
      <w:rPr>
        <w:rStyle w:val="PageNumber"/>
        <w:b/>
        <w:color w:val="800000"/>
        <w:sz w:val="18"/>
        <w:szCs w:val="18"/>
      </w:rPr>
    </w:pPr>
    <w:r w:rsidRPr="003B5916">
      <w:rPr>
        <w:rStyle w:val="PageNumber"/>
        <w:b/>
        <w:color w:val="800000"/>
        <w:sz w:val="18"/>
        <w:szCs w:val="18"/>
      </w:rPr>
      <w:t xml:space="preserve">Page </w:t>
    </w:r>
    <w:r w:rsidRPr="003B5916">
      <w:rPr>
        <w:rStyle w:val="PageNumber"/>
        <w:b/>
        <w:color w:val="800000"/>
        <w:sz w:val="18"/>
        <w:szCs w:val="18"/>
      </w:rPr>
      <w:fldChar w:fldCharType="begin"/>
    </w:r>
    <w:r w:rsidRPr="003B5916">
      <w:rPr>
        <w:rStyle w:val="PageNumber"/>
        <w:b/>
        <w:color w:val="800000"/>
        <w:sz w:val="18"/>
        <w:szCs w:val="18"/>
      </w:rPr>
      <w:instrText xml:space="preserve">PAGE  </w:instrText>
    </w:r>
    <w:r w:rsidRPr="003B5916">
      <w:rPr>
        <w:rStyle w:val="PageNumber"/>
        <w:b/>
        <w:color w:val="800000"/>
        <w:sz w:val="18"/>
        <w:szCs w:val="18"/>
      </w:rPr>
      <w:fldChar w:fldCharType="separate"/>
    </w:r>
    <w:r w:rsidR="00892B67">
      <w:rPr>
        <w:rStyle w:val="PageNumber"/>
        <w:b/>
        <w:noProof/>
        <w:color w:val="800000"/>
        <w:sz w:val="18"/>
        <w:szCs w:val="18"/>
      </w:rPr>
      <w:t>1</w:t>
    </w:r>
    <w:r w:rsidRPr="003B5916">
      <w:rPr>
        <w:rStyle w:val="PageNumber"/>
        <w:b/>
        <w:color w:val="800000"/>
        <w:sz w:val="18"/>
        <w:szCs w:val="18"/>
      </w:rPr>
      <w:fldChar w:fldCharType="end"/>
    </w:r>
  </w:p>
  <w:p w14:paraId="0D78E111" w14:textId="484E64FF" w:rsidR="009B462B" w:rsidRDefault="009B462B" w:rsidP="008C1365">
    <w:pPr>
      <w:pStyle w:val="Footer"/>
      <w:ind w:right="360"/>
      <w:rPr>
        <w:b/>
        <w:i/>
        <w:color w:val="800000"/>
        <w:sz w:val="18"/>
        <w:szCs w:val="18"/>
      </w:rPr>
    </w:pPr>
    <w:r w:rsidRPr="003B5916">
      <w:rPr>
        <w:b/>
        <w:color w:val="800000"/>
        <w:sz w:val="18"/>
        <w:szCs w:val="18"/>
      </w:rPr>
      <w:t>Commentary—</w:t>
    </w:r>
    <w:r w:rsidR="007E57EC" w:rsidRPr="007E57EC">
      <w:rPr>
        <w:b/>
        <w:i/>
        <w:color w:val="800000"/>
        <w:sz w:val="18"/>
        <w:szCs w:val="18"/>
      </w:rPr>
      <w:t>Da Silva v. Vieira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5C9A" w14:textId="77777777" w:rsidR="00A95EE9" w:rsidRDefault="00A95EE9" w:rsidP="008E0D13">
      <w:r>
        <w:separator/>
      </w:r>
    </w:p>
  </w:footnote>
  <w:footnote w:type="continuationSeparator" w:id="0">
    <w:p w14:paraId="44EE68FB" w14:textId="77777777" w:rsidR="00A95EE9" w:rsidRDefault="00A95EE9" w:rsidP="008E0D13">
      <w:r>
        <w:continuationSeparator/>
      </w:r>
    </w:p>
  </w:footnote>
  <w:footnote w:id="1">
    <w:p w14:paraId="0417B1DB" w14:textId="77777777" w:rsidR="007E57EC" w:rsidRPr="00E9233E" w:rsidRDefault="007E57EC" w:rsidP="007E57EC">
      <w:pPr>
        <w:pStyle w:val="HagueFootnotes"/>
      </w:pPr>
      <w:r w:rsidRPr="007E57EC">
        <w:footnoteRef/>
      </w:r>
      <w:r w:rsidRPr="00E9233E">
        <w:t xml:space="preserve">. Abbott v. Abbott, 560 U.S. 1 (2010). The Court held that a </w:t>
      </w:r>
      <w:proofErr w:type="spellStart"/>
      <w:r w:rsidRPr="00955FA5">
        <w:rPr>
          <w:iCs/>
        </w:rPr>
        <w:t>ne</w:t>
      </w:r>
      <w:proofErr w:type="spellEnd"/>
      <w:r w:rsidRPr="00955FA5">
        <w:rPr>
          <w:iCs/>
        </w:rPr>
        <w:t xml:space="preserve"> exeat</w:t>
      </w:r>
      <w:r w:rsidRPr="00E9233E">
        <w:t xml:space="preserve"> order confers a right of custody to the left-behind parent, entitling that parent to maintain an action under the Convention. A ne exeat order typically restrains one or both parents from removing a child from the jurisdiction of the court, or from moving a child across an international frontier without the permission of the other parent or a court. Usually this right is not absolute, and if permission to remove the child is unreasonably withheld, or a court determines that good cause for continued restraint no longer exists, a court of competent jurisdiction may vacate the ne exeat order.</w:t>
      </w:r>
    </w:p>
  </w:footnote>
  <w:footnote w:id="2">
    <w:p w14:paraId="1C0EC4C6" w14:textId="77777777" w:rsidR="007E57EC" w:rsidRPr="007E57EC" w:rsidRDefault="007E57EC" w:rsidP="007E57EC">
      <w:pPr>
        <w:pStyle w:val="HagueFootnotes"/>
      </w:pPr>
      <w:r w:rsidRPr="007E57EC">
        <w:footnoteRef/>
      </w:r>
      <w:r w:rsidRPr="007E57EC">
        <w:t>. Da Silva v. Vieira, No. 6:20-cv-1301-Orl-37GJK, 2020 U.S. Dist. LEXIS 174167, at *15–16 (M.D. Fla. Sep. 23, 2020) (footnotes omitted).</w:t>
      </w:r>
    </w:p>
    <w:p w14:paraId="7D9FABD4" w14:textId="77777777" w:rsidR="007E57EC" w:rsidRPr="00E9233E" w:rsidRDefault="007E57EC" w:rsidP="007E57EC">
      <w:pPr>
        <w:pStyle w:val="Hague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D50B0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B51FF"/>
    <w:multiLevelType w:val="hybridMultilevel"/>
    <w:tmpl w:val="A1A817FA"/>
    <w:lvl w:ilvl="0" w:tplc="8780D0CC">
      <w:start w:val="1"/>
      <w:numFmt w:val="bullet"/>
      <w:pStyle w:val="ListParagraph"/>
      <w:lvlText w:val="o"/>
      <w:lvlJc w:val="left"/>
      <w:pPr>
        <w:ind w:left="720" w:hanging="360"/>
      </w:pPr>
      <w:rPr>
        <w:rFonts w:ascii="Courier New" w:hAnsi="Courier New" w:hint="default"/>
      </w:rPr>
    </w:lvl>
    <w:lvl w:ilvl="1" w:tplc="1CFE8D2C">
      <w:start w:val="1"/>
      <w:numFmt w:val="bullet"/>
      <w:pStyle w:val="ListParagraph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63290"/>
    <w:multiLevelType w:val="hybridMultilevel"/>
    <w:tmpl w:val="F6F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22AD"/>
    <w:multiLevelType w:val="hybridMultilevel"/>
    <w:tmpl w:val="793208C6"/>
    <w:lvl w:ilvl="0" w:tplc="DACEB5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6467F"/>
    <w:multiLevelType w:val="hybridMultilevel"/>
    <w:tmpl w:val="9866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16A7F"/>
    <w:multiLevelType w:val="hybridMultilevel"/>
    <w:tmpl w:val="9F646A7E"/>
    <w:lvl w:ilvl="0" w:tplc="D522F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7C64E6"/>
    <w:multiLevelType w:val="multilevel"/>
    <w:tmpl w:val="79320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6"/>
  <w:displayBackgroundShape/>
  <w:embedSystemFonts/>
  <w:proofState w:spelling="clean" w:grammar="clean"/>
  <w:attachedTemplate r:id="rId1"/>
  <w:defaultTabStop w:val="720"/>
  <w:autoHyphenation/>
  <w:consecutiveHyphenLimit w:val="3"/>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A8"/>
    <w:rsid w:val="000500BA"/>
    <w:rsid w:val="00063203"/>
    <w:rsid w:val="00080C10"/>
    <w:rsid w:val="0009690E"/>
    <w:rsid w:val="000A5B8D"/>
    <w:rsid w:val="000D6797"/>
    <w:rsid w:val="000E7DFC"/>
    <w:rsid w:val="000F0B07"/>
    <w:rsid w:val="000F0C58"/>
    <w:rsid w:val="000F77A8"/>
    <w:rsid w:val="00131C10"/>
    <w:rsid w:val="00137E65"/>
    <w:rsid w:val="00143A04"/>
    <w:rsid w:val="00172DF4"/>
    <w:rsid w:val="00180543"/>
    <w:rsid w:val="00185A5F"/>
    <w:rsid w:val="001C2569"/>
    <w:rsid w:val="001E3939"/>
    <w:rsid w:val="001F1CF0"/>
    <w:rsid w:val="002153EC"/>
    <w:rsid w:val="002444ED"/>
    <w:rsid w:val="00277A04"/>
    <w:rsid w:val="0028737D"/>
    <w:rsid w:val="002A7CDB"/>
    <w:rsid w:val="002E3144"/>
    <w:rsid w:val="002F5FD7"/>
    <w:rsid w:val="0032090C"/>
    <w:rsid w:val="003369E5"/>
    <w:rsid w:val="00362061"/>
    <w:rsid w:val="00362BA6"/>
    <w:rsid w:val="003B5916"/>
    <w:rsid w:val="003C4788"/>
    <w:rsid w:val="003C746C"/>
    <w:rsid w:val="003D0145"/>
    <w:rsid w:val="003D1131"/>
    <w:rsid w:val="003D1BCC"/>
    <w:rsid w:val="003F70E9"/>
    <w:rsid w:val="0040488D"/>
    <w:rsid w:val="004210A8"/>
    <w:rsid w:val="00422568"/>
    <w:rsid w:val="00447500"/>
    <w:rsid w:val="004C42E4"/>
    <w:rsid w:val="004E43E5"/>
    <w:rsid w:val="0051287C"/>
    <w:rsid w:val="005203D5"/>
    <w:rsid w:val="00552C36"/>
    <w:rsid w:val="00566F34"/>
    <w:rsid w:val="005712F8"/>
    <w:rsid w:val="005D0678"/>
    <w:rsid w:val="0060680F"/>
    <w:rsid w:val="00611162"/>
    <w:rsid w:val="00636291"/>
    <w:rsid w:val="00651FDA"/>
    <w:rsid w:val="00675782"/>
    <w:rsid w:val="006849FB"/>
    <w:rsid w:val="006B50A3"/>
    <w:rsid w:val="006C6E46"/>
    <w:rsid w:val="006E0A57"/>
    <w:rsid w:val="006E6074"/>
    <w:rsid w:val="006F7CB1"/>
    <w:rsid w:val="00706C08"/>
    <w:rsid w:val="007445C4"/>
    <w:rsid w:val="007801EA"/>
    <w:rsid w:val="007C470A"/>
    <w:rsid w:val="007C7BFA"/>
    <w:rsid w:val="007E57EC"/>
    <w:rsid w:val="007E74FF"/>
    <w:rsid w:val="007F1A9C"/>
    <w:rsid w:val="007F6413"/>
    <w:rsid w:val="00803633"/>
    <w:rsid w:val="00862DB5"/>
    <w:rsid w:val="00885919"/>
    <w:rsid w:val="00892B67"/>
    <w:rsid w:val="008B0F8B"/>
    <w:rsid w:val="008C1365"/>
    <w:rsid w:val="008D5361"/>
    <w:rsid w:val="008D7D5B"/>
    <w:rsid w:val="008E0D13"/>
    <w:rsid w:val="008F03A7"/>
    <w:rsid w:val="008F0ED9"/>
    <w:rsid w:val="008F305D"/>
    <w:rsid w:val="00914BF3"/>
    <w:rsid w:val="009164DF"/>
    <w:rsid w:val="0092249D"/>
    <w:rsid w:val="00936283"/>
    <w:rsid w:val="00944960"/>
    <w:rsid w:val="009526E4"/>
    <w:rsid w:val="00963FF4"/>
    <w:rsid w:val="009B462B"/>
    <w:rsid w:val="009C06DF"/>
    <w:rsid w:val="009E55C5"/>
    <w:rsid w:val="00A03F0B"/>
    <w:rsid w:val="00A122E1"/>
    <w:rsid w:val="00A13013"/>
    <w:rsid w:val="00A2108C"/>
    <w:rsid w:val="00A30CEA"/>
    <w:rsid w:val="00A469F4"/>
    <w:rsid w:val="00A77539"/>
    <w:rsid w:val="00A849D6"/>
    <w:rsid w:val="00A95EE9"/>
    <w:rsid w:val="00AA3197"/>
    <w:rsid w:val="00AA31F8"/>
    <w:rsid w:val="00AA3CF5"/>
    <w:rsid w:val="00AE6CAF"/>
    <w:rsid w:val="00AF2CAE"/>
    <w:rsid w:val="00AF4203"/>
    <w:rsid w:val="00B04D9E"/>
    <w:rsid w:val="00B14510"/>
    <w:rsid w:val="00B75EF5"/>
    <w:rsid w:val="00B96655"/>
    <w:rsid w:val="00BD117F"/>
    <w:rsid w:val="00BD2B4A"/>
    <w:rsid w:val="00C10F74"/>
    <w:rsid w:val="00C16FCD"/>
    <w:rsid w:val="00C43083"/>
    <w:rsid w:val="00C44F93"/>
    <w:rsid w:val="00C5573B"/>
    <w:rsid w:val="00C77344"/>
    <w:rsid w:val="00C8213F"/>
    <w:rsid w:val="00C93472"/>
    <w:rsid w:val="00CB01EC"/>
    <w:rsid w:val="00CD7CF6"/>
    <w:rsid w:val="00D15BFC"/>
    <w:rsid w:val="00D32079"/>
    <w:rsid w:val="00D37785"/>
    <w:rsid w:val="00D456D3"/>
    <w:rsid w:val="00D4672F"/>
    <w:rsid w:val="00D763A5"/>
    <w:rsid w:val="00D82921"/>
    <w:rsid w:val="00D82F58"/>
    <w:rsid w:val="00DD2E5D"/>
    <w:rsid w:val="00DD651E"/>
    <w:rsid w:val="00DE3FF5"/>
    <w:rsid w:val="00E0552A"/>
    <w:rsid w:val="00E17AFE"/>
    <w:rsid w:val="00E310F4"/>
    <w:rsid w:val="00E33E92"/>
    <w:rsid w:val="00E376D4"/>
    <w:rsid w:val="00E43BE2"/>
    <w:rsid w:val="00E6168F"/>
    <w:rsid w:val="00E82DEC"/>
    <w:rsid w:val="00EA5894"/>
    <w:rsid w:val="00EA6EF4"/>
    <w:rsid w:val="00EB6632"/>
    <w:rsid w:val="00EB7AD7"/>
    <w:rsid w:val="00EC19AD"/>
    <w:rsid w:val="00EC1DF5"/>
    <w:rsid w:val="00F060B6"/>
    <w:rsid w:val="00F14CB1"/>
    <w:rsid w:val="00F1521B"/>
    <w:rsid w:val="00FC132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8398A"/>
  <w15:docId w15:val="{18852A54-C692-3547-9238-072B65D3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0C58"/>
    <w:rPr>
      <w:rFonts w:ascii="Helvetica Neue" w:hAnsi="Helvetica Neue"/>
      <w:sz w:val="20"/>
      <w:szCs w:val="20"/>
    </w:rPr>
  </w:style>
  <w:style w:type="paragraph" w:styleId="Heading1">
    <w:name w:val="heading 1"/>
    <w:basedOn w:val="Normal"/>
    <w:next w:val="Normal"/>
    <w:link w:val="Heading1Char"/>
    <w:uiPriority w:val="9"/>
    <w:rsid w:val="00E17AF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rsid w:val="00E17AF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E17AF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17AFE"/>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E17AFE"/>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17AFE"/>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E17AF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E17AF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17AF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AFE"/>
    <w:rPr>
      <w:caps/>
      <w:spacing w:val="15"/>
      <w:shd w:val="clear" w:color="auto" w:fill="DBE5F1" w:themeFill="accent1" w:themeFillTint="33"/>
    </w:rPr>
  </w:style>
  <w:style w:type="paragraph" w:customStyle="1" w:styleId="NJC">
    <w:name w:val="NJC"/>
    <w:basedOn w:val="Normal"/>
    <w:rsid w:val="00C8213F"/>
    <w:rPr>
      <w:rFonts w:ascii="Times New Roman" w:hAnsi="Times New Roman"/>
    </w:rPr>
  </w:style>
  <w:style w:type="paragraph" w:styleId="FootnoteText">
    <w:name w:val="footnote text"/>
    <w:basedOn w:val="Normal"/>
    <w:link w:val="FootnoteTextChar"/>
    <w:uiPriority w:val="99"/>
    <w:unhideWhenUsed/>
    <w:rsid w:val="00C8213F"/>
    <w:rPr>
      <w:rFonts w:ascii="Times New Roman" w:hAnsi="Times New Roman"/>
    </w:rPr>
  </w:style>
  <w:style w:type="character" w:customStyle="1" w:styleId="FootnoteTextChar">
    <w:name w:val="Footnote Text Char"/>
    <w:basedOn w:val="DefaultParagraphFont"/>
    <w:link w:val="FootnoteText"/>
    <w:uiPriority w:val="99"/>
    <w:rsid w:val="00C8213F"/>
    <w:rPr>
      <w:rFonts w:ascii="Times New Roman" w:hAnsi="Times New Roman"/>
      <w:sz w:val="20"/>
    </w:rPr>
  </w:style>
  <w:style w:type="character" w:styleId="FootnoteReference">
    <w:name w:val="footnote reference"/>
    <w:basedOn w:val="DefaultParagraphFont"/>
    <w:uiPriority w:val="99"/>
    <w:unhideWhenUsed/>
    <w:rsid w:val="00C8213F"/>
    <w:rPr>
      <w:rFonts w:ascii="Times New Roman" w:hAnsi="Times New Roman"/>
      <w:sz w:val="24"/>
      <w:vertAlign w:val="superscript"/>
    </w:rPr>
  </w:style>
  <w:style w:type="character" w:styleId="Hyperlink">
    <w:name w:val="Hyperlink"/>
    <w:basedOn w:val="DefaultParagraphFont"/>
    <w:uiPriority w:val="99"/>
    <w:unhideWhenUsed/>
    <w:rsid w:val="00E376D4"/>
    <w:rPr>
      <w:color w:val="0000FF" w:themeColor="hyperlink"/>
      <w:u w:val="single"/>
    </w:rPr>
  </w:style>
  <w:style w:type="paragraph" w:styleId="Header">
    <w:name w:val="header"/>
    <w:basedOn w:val="Normal"/>
    <w:link w:val="HeaderChar"/>
    <w:uiPriority w:val="99"/>
    <w:unhideWhenUsed/>
    <w:rsid w:val="008E0D13"/>
    <w:pPr>
      <w:tabs>
        <w:tab w:val="center" w:pos="4320"/>
        <w:tab w:val="right" w:pos="8640"/>
      </w:tabs>
    </w:pPr>
  </w:style>
  <w:style w:type="character" w:customStyle="1" w:styleId="HeaderChar">
    <w:name w:val="Header Char"/>
    <w:basedOn w:val="DefaultParagraphFont"/>
    <w:link w:val="Header"/>
    <w:uiPriority w:val="99"/>
    <w:rsid w:val="008E0D13"/>
    <w:rPr>
      <w:lang w:eastAsia="en-US"/>
    </w:rPr>
  </w:style>
  <w:style w:type="paragraph" w:styleId="Footer">
    <w:name w:val="footer"/>
    <w:basedOn w:val="Normal"/>
    <w:link w:val="FooterChar"/>
    <w:uiPriority w:val="99"/>
    <w:unhideWhenUsed/>
    <w:rsid w:val="008E0D13"/>
    <w:pPr>
      <w:tabs>
        <w:tab w:val="center" w:pos="4320"/>
        <w:tab w:val="right" w:pos="8640"/>
      </w:tabs>
    </w:pPr>
  </w:style>
  <w:style w:type="character" w:customStyle="1" w:styleId="FooterChar">
    <w:name w:val="Footer Char"/>
    <w:basedOn w:val="DefaultParagraphFont"/>
    <w:link w:val="Footer"/>
    <w:uiPriority w:val="99"/>
    <w:rsid w:val="008E0D13"/>
    <w:rPr>
      <w:lang w:eastAsia="en-US"/>
    </w:rPr>
  </w:style>
  <w:style w:type="character" w:styleId="PageNumber">
    <w:name w:val="page number"/>
    <w:basedOn w:val="DefaultParagraphFont"/>
    <w:uiPriority w:val="99"/>
    <w:semiHidden/>
    <w:unhideWhenUsed/>
    <w:rsid w:val="008E0D13"/>
  </w:style>
  <w:style w:type="paragraph" w:customStyle="1" w:styleId="Default">
    <w:name w:val="Default"/>
    <w:rsid w:val="00552C36"/>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C43083"/>
    <w:rPr>
      <w:sz w:val="16"/>
      <w:szCs w:val="16"/>
    </w:rPr>
  </w:style>
  <w:style w:type="paragraph" w:styleId="CommentText">
    <w:name w:val="annotation text"/>
    <w:basedOn w:val="Normal"/>
    <w:link w:val="CommentTextChar"/>
    <w:uiPriority w:val="99"/>
    <w:semiHidden/>
    <w:unhideWhenUsed/>
    <w:rsid w:val="00C43083"/>
  </w:style>
  <w:style w:type="character" w:customStyle="1" w:styleId="CommentTextChar">
    <w:name w:val="Comment Text Char"/>
    <w:basedOn w:val="DefaultParagraphFont"/>
    <w:link w:val="CommentText"/>
    <w:uiPriority w:val="99"/>
    <w:semiHidden/>
    <w:rsid w:val="00C43083"/>
    <w:rPr>
      <w:sz w:val="20"/>
      <w:szCs w:val="20"/>
      <w:lang w:eastAsia="en-US"/>
    </w:rPr>
  </w:style>
  <w:style w:type="paragraph" w:styleId="CommentSubject">
    <w:name w:val="annotation subject"/>
    <w:basedOn w:val="CommentText"/>
    <w:next w:val="CommentText"/>
    <w:link w:val="CommentSubjectChar"/>
    <w:uiPriority w:val="99"/>
    <w:semiHidden/>
    <w:unhideWhenUsed/>
    <w:rsid w:val="00C43083"/>
    <w:rPr>
      <w:b/>
      <w:bCs/>
    </w:rPr>
  </w:style>
  <w:style w:type="character" w:customStyle="1" w:styleId="CommentSubjectChar">
    <w:name w:val="Comment Subject Char"/>
    <w:basedOn w:val="CommentTextChar"/>
    <w:link w:val="CommentSubject"/>
    <w:uiPriority w:val="99"/>
    <w:semiHidden/>
    <w:rsid w:val="00C43083"/>
    <w:rPr>
      <w:b/>
      <w:bCs/>
      <w:sz w:val="20"/>
      <w:szCs w:val="20"/>
      <w:lang w:eastAsia="en-US"/>
    </w:rPr>
  </w:style>
  <w:style w:type="paragraph" w:styleId="BalloonText">
    <w:name w:val="Balloon Text"/>
    <w:basedOn w:val="Normal"/>
    <w:link w:val="BalloonTextChar"/>
    <w:uiPriority w:val="99"/>
    <w:semiHidden/>
    <w:unhideWhenUsed/>
    <w:rsid w:val="00C43083"/>
    <w:rPr>
      <w:rFonts w:ascii="Tahoma" w:hAnsi="Tahoma" w:cs="Tahoma"/>
      <w:sz w:val="16"/>
      <w:szCs w:val="16"/>
    </w:rPr>
  </w:style>
  <w:style w:type="character" w:customStyle="1" w:styleId="BalloonTextChar">
    <w:name w:val="Balloon Text Char"/>
    <w:basedOn w:val="DefaultParagraphFont"/>
    <w:link w:val="BalloonText"/>
    <w:uiPriority w:val="99"/>
    <w:semiHidden/>
    <w:rsid w:val="00C43083"/>
    <w:rPr>
      <w:rFonts w:ascii="Tahoma" w:hAnsi="Tahoma" w:cs="Tahoma"/>
      <w:sz w:val="16"/>
      <w:szCs w:val="16"/>
      <w:lang w:eastAsia="en-US"/>
    </w:rPr>
  </w:style>
  <w:style w:type="paragraph" w:styleId="Revision">
    <w:name w:val="Revision"/>
    <w:hidden/>
    <w:uiPriority w:val="99"/>
    <w:semiHidden/>
    <w:rsid w:val="007F1A9C"/>
    <w:rPr>
      <w:lang w:eastAsia="en-US"/>
    </w:rPr>
  </w:style>
  <w:style w:type="paragraph" w:customStyle="1" w:styleId="HagueParagraph">
    <w:name w:val="Hague Paragraph"/>
    <w:basedOn w:val="Normal"/>
    <w:autoRedefine/>
    <w:qFormat/>
    <w:rsid w:val="00AE6CAF"/>
    <w:pPr>
      <w:jc w:val="both"/>
    </w:pPr>
    <w:rPr>
      <w:rFonts w:eastAsia="Times New Roman" w:cs="Arial"/>
      <w:spacing w:val="-4"/>
      <w:sz w:val="22"/>
      <w:szCs w:val="22"/>
      <w:lang w:eastAsia="en-US"/>
    </w:rPr>
  </w:style>
  <w:style w:type="paragraph" w:customStyle="1" w:styleId="HagueHeaderBody">
    <w:name w:val="Hague Header Body"/>
    <w:basedOn w:val="Normal"/>
    <w:autoRedefine/>
    <w:qFormat/>
    <w:rsid w:val="00AE6CAF"/>
    <w:rPr>
      <w:b/>
      <w:sz w:val="22"/>
      <w:szCs w:val="22"/>
      <w:lang w:eastAsia="en-US"/>
    </w:rPr>
  </w:style>
  <w:style w:type="paragraph" w:customStyle="1" w:styleId="HagueBoxHeader">
    <w:name w:val="Hague Box Header"/>
    <w:basedOn w:val="Normal"/>
    <w:qFormat/>
    <w:rsid w:val="00E17AFE"/>
    <w:pPr>
      <w:spacing w:after="240"/>
      <w:jc w:val="center"/>
    </w:pPr>
    <w:rPr>
      <w:b/>
    </w:rPr>
  </w:style>
  <w:style w:type="paragraph" w:customStyle="1" w:styleId="HagueBoxCaseCite">
    <w:name w:val="Hague Box Case Cite"/>
    <w:basedOn w:val="Normal"/>
    <w:autoRedefine/>
    <w:qFormat/>
    <w:rsid w:val="000F0C58"/>
    <w:rPr>
      <w:rFonts w:cs="Arial"/>
      <w:spacing w:val="-2"/>
      <w:sz w:val="18"/>
      <w:szCs w:val="18"/>
    </w:rPr>
  </w:style>
  <w:style w:type="paragraph" w:customStyle="1" w:styleId="HagueHeader2Body">
    <w:name w:val="Hague Header 2 Body"/>
    <w:basedOn w:val="Normal"/>
    <w:autoRedefine/>
    <w:rsid w:val="000F0C58"/>
    <w:pPr>
      <w:jc w:val="both"/>
    </w:pPr>
    <w:rPr>
      <w:b/>
      <w:i/>
    </w:rPr>
  </w:style>
  <w:style w:type="paragraph" w:customStyle="1" w:styleId="HagueFootnotes">
    <w:name w:val="Hague Footnotes"/>
    <w:basedOn w:val="FootnoteText"/>
    <w:autoRedefine/>
    <w:qFormat/>
    <w:rsid w:val="002153EC"/>
    <w:pPr>
      <w:ind w:firstLine="360"/>
      <w:jc w:val="both"/>
    </w:pPr>
    <w:rPr>
      <w:rFonts w:ascii="Helvetica Neue" w:hAnsi="Helvetica Neue"/>
      <w:color w:val="7F7F7F" w:themeColor="text1" w:themeTint="80"/>
      <w:sz w:val="18"/>
      <w:szCs w:val="18"/>
    </w:rPr>
  </w:style>
  <w:style w:type="paragraph" w:customStyle="1" w:styleId="HagueBlockQuotation">
    <w:name w:val="Hague Block Quotation"/>
    <w:basedOn w:val="Normal"/>
    <w:autoRedefine/>
    <w:qFormat/>
    <w:rsid w:val="00E17AFE"/>
    <w:pPr>
      <w:spacing w:before="120" w:after="120"/>
      <w:ind w:left="720" w:right="720"/>
      <w:jc w:val="both"/>
    </w:pPr>
    <w:rPr>
      <w:color w:val="000000"/>
    </w:rPr>
  </w:style>
  <w:style w:type="paragraph" w:customStyle="1" w:styleId="HagueHeader1">
    <w:name w:val="Hague Header 1"/>
    <w:basedOn w:val="Normal"/>
    <w:qFormat/>
    <w:rsid w:val="00E17AFE"/>
    <w:pPr>
      <w:spacing w:after="360"/>
    </w:pPr>
    <w:rPr>
      <w:rFonts w:cs="Helvetica Neue Light"/>
      <w:b/>
      <w:color w:val="800000"/>
      <w:sz w:val="40"/>
      <w:szCs w:val="40"/>
    </w:rPr>
  </w:style>
  <w:style w:type="paragraph" w:customStyle="1" w:styleId="HagueHeader2">
    <w:name w:val="Hague Header 2"/>
    <w:basedOn w:val="Normal"/>
    <w:qFormat/>
    <w:rsid w:val="00E17AFE"/>
    <w:pPr>
      <w:spacing w:after="360"/>
      <w:contextualSpacing/>
    </w:pPr>
    <w:rPr>
      <w:rFonts w:cs="Helvetica Neue Light"/>
      <w:b/>
      <w:color w:val="000000" w:themeColor="text1"/>
      <w:sz w:val="24"/>
      <w:szCs w:val="24"/>
    </w:rPr>
  </w:style>
  <w:style w:type="paragraph" w:customStyle="1" w:styleId="HagueHeader3Body">
    <w:name w:val="Hague Header 3 Body"/>
    <w:basedOn w:val="Normal"/>
    <w:autoRedefine/>
    <w:rsid w:val="003B5916"/>
    <w:pPr>
      <w:jc w:val="both"/>
    </w:pPr>
    <w:rPr>
      <w:b/>
      <w:i/>
    </w:rPr>
  </w:style>
  <w:style w:type="paragraph" w:customStyle="1" w:styleId="HagueHeaderBodyItalic">
    <w:name w:val="Hague Header Body Italic"/>
    <w:basedOn w:val="Normal"/>
    <w:autoRedefine/>
    <w:qFormat/>
    <w:rsid w:val="00E17AFE"/>
    <w:pPr>
      <w:jc w:val="both"/>
    </w:pPr>
    <w:rPr>
      <w:b/>
      <w:i/>
      <w:sz w:val="24"/>
      <w:szCs w:val="24"/>
    </w:rPr>
  </w:style>
  <w:style w:type="character" w:customStyle="1" w:styleId="Heading3Char">
    <w:name w:val="Heading 3 Char"/>
    <w:basedOn w:val="DefaultParagraphFont"/>
    <w:link w:val="Heading3"/>
    <w:uiPriority w:val="9"/>
    <w:semiHidden/>
    <w:rsid w:val="00E17A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7A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7A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7A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7A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7A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7A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7AFE"/>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E17AFE"/>
    <w:rPr>
      <w:b/>
      <w:bCs/>
      <w:caps/>
      <w:color w:val="FFFFFF" w:themeColor="background1"/>
      <w:spacing w:val="15"/>
      <w:shd w:val="clear" w:color="auto" w:fill="4F81BD" w:themeFill="accent1"/>
    </w:rPr>
  </w:style>
  <w:style w:type="paragraph" w:styleId="TOCHeading">
    <w:name w:val="TOC Heading"/>
    <w:basedOn w:val="Heading1"/>
    <w:next w:val="Normal"/>
    <w:uiPriority w:val="39"/>
    <w:semiHidden/>
    <w:unhideWhenUsed/>
    <w:qFormat/>
    <w:rsid w:val="00E17AFE"/>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45A8A" w:themeColor="accent1" w:themeShade="B5"/>
      <w:spacing w:val="0"/>
      <w:sz w:val="32"/>
      <w:szCs w:val="32"/>
    </w:rPr>
  </w:style>
  <w:style w:type="paragraph" w:styleId="ListParagraph">
    <w:name w:val="List Paragraph"/>
    <w:basedOn w:val="Normal"/>
    <w:autoRedefine/>
    <w:uiPriority w:val="34"/>
    <w:qFormat/>
    <w:rsid w:val="00FC1325"/>
    <w:pPr>
      <w:numPr>
        <w:numId w:val="5"/>
      </w:numPr>
      <w:spacing w:after="60"/>
      <w:jc w:val="both"/>
    </w:pPr>
    <w:rPr>
      <w:sz w:val="22"/>
      <w:szCs w:val="22"/>
    </w:rPr>
  </w:style>
  <w:style w:type="paragraph" w:styleId="Title">
    <w:name w:val="Title"/>
    <w:basedOn w:val="Normal"/>
    <w:next w:val="Normal"/>
    <w:link w:val="TitleChar"/>
    <w:uiPriority w:val="10"/>
    <w:rsid w:val="00E17AF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17AFE"/>
    <w:rPr>
      <w:caps/>
      <w:color w:val="4F81BD" w:themeColor="accent1"/>
      <w:spacing w:val="10"/>
      <w:kern w:val="28"/>
      <w:sz w:val="52"/>
      <w:szCs w:val="52"/>
    </w:rPr>
  </w:style>
  <w:style w:type="paragraph" w:styleId="Subtitle">
    <w:name w:val="Subtitle"/>
    <w:basedOn w:val="Normal"/>
    <w:next w:val="Normal"/>
    <w:link w:val="SubtitleChar"/>
    <w:uiPriority w:val="11"/>
    <w:rsid w:val="00E17AF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7AFE"/>
    <w:rPr>
      <w:caps/>
      <w:color w:val="595959" w:themeColor="text1" w:themeTint="A6"/>
      <w:spacing w:val="10"/>
      <w:sz w:val="24"/>
      <w:szCs w:val="24"/>
    </w:rPr>
  </w:style>
  <w:style w:type="character" w:styleId="Strong">
    <w:name w:val="Strong"/>
    <w:uiPriority w:val="22"/>
    <w:rsid w:val="00E17AFE"/>
    <w:rPr>
      <w:b/>
      <w:bCs/>
    </w:rPr>
  </w:style>
  <w:style w:type="character" w:styleId="Emphasis">
    <w:name w:val="Emphasis"/>
    <w:uiPriority w:val="20"/>
    <w:rsid w:val="00E17AFE"/>
    <w:rPr>
      <w:caps/>
      <w:color w:val="243F60" w:themeColor="accent1" w:themeShade="7F"/>
      <w:spacing w:val="5"/>
    </w:rPr>
  </w:style>
  <w:style w:type="paragraph" w:styleId="NoSpacing">
    <w:name w:val="No Spacing"/>
    <w:basedOn w:val="Normal"/>
    <w:link w:val="NoSpacingChar"/>
    <w:uiPriority w:val="1"/>
    <w:rsid w:val="00E17AFE"/>
  </w:style>
  <w:style w:type="character" w:customStyle="1" w:styleId="NoSpacingChar">
    <w:name w:val="No Spacing Char"/>
    <w:basedOn w:val="DefaultParagraphFont"/>
    <w:link w:val="NoSpacing"/>
    <w:uiPriority w:val="1"/>
    <w:rsid w:val="00E17AFE"/>
    <w:rPr>
      <w:sz w:val="20"/>
      <w:szCs w:val="20"/>
    </w:rPr>
  </w:style>
  <w:style w:type="paragraph" w:styleId="Quote">
    <w:name w:val="Quote"/>
    <w:basedOn w:val="Normal"/>
    <w:next w:val="Normal"/>
    <w:link w:val="QuoteChar"/>
    <w:uiPriority w:val="29"/>
    <w:rsid w:val="00E17AFE"/>
    <w:rPr>
      <w:i/>
      <w:iCs/>
    </w:rPr>
  </w:style>
  <w:style w:type="character" w:customStyle="1" w:styleId="QuoteChar">
    <w:name w:val="Quote Char"/>
    <w:basedOn w:val="DefaultParagraphFont"/>
    <w:link w:val="Quote"/>
    <w:uiPriority w:val="29"/>
    <w:rsid w:val="00E17AFE"/>
    <w:rPr>
      <w:i/>
      <w:iCs/>
      <w:sz w:val="20"/>
      <w:szCs w:val="20"/>
    </w:rPr>
  </w:style>
  <w:style w:type="paragraph" w:styleId="IntenseQuote">
    <w:name w:val="Intense Quote"/>
    <w:basedOn w:val="Normal"/>
    <w:next w:val="Normal"/>
    <w:link w:val="IntenseQuoteChar"/>
    <w:uiPriority w:val="30"/>
    <w:rsid w:val="00E17AFE"/>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17AFE"/>
    <w:rPr>
      <w:i/>
      <w:iCs/>
      <w:color w:val="4F81BD" w:themeColor="accent1"/>
      <w:sz w:val="20"/>
      <w:szCs w:val="20"/>
    </w:rPr>
  </w:style>
  <w:style w:type="character" w:styleId="SubtleEmphasis">
    <w:name w:val="Subtle Emphasis"/>
    <w:uiPriority w:val="19"/>
    <w:rsid w:val="00E17AFE"/>
    <w:rPr>
      <w:i/>
      <w:iCs/>
      <w:color w:val="243F60" w:themeColor="accent1" w:themeShade="7F"/>
    </w:rPr>
  </w:style>
  <w:style w:type="character" w:styleId="IntenseEmphasis">
    <w:name w:val="Intense Emphasis"/>
    <w:uiPriority w:val="21"/>
    <w:rsid w:val="00E17AFE"/>
    <w:rPr>
      <w:b/>
      <w:bCs/>
      <w:caps/>
      <w:color w:val="243F60" w:themeColor="accent1" w:themeShade="7F"/>
      <w:spacing w:val="10"/>
    </w:rPr>
  </w:style>
  <w:style w:type="character" w:styleId="SubtleReference">
    <w:name w:val="Subtle Reference"/>
    <w:uiPriority w:val="31"/>
    <w:rsid w:val="00E17AFE"/>
    <w:rPr>
      <w:b/>
      <w:bCs/>
      <w:color w:val="4F81BD" w:themeColor="accent1"/>
    </w:rPr>
  </w:style>
  <w:style w:type="character" w:styleId="IntenseReference">
    <w:name w:val="Intense Reference"/>
    <w:uiPriority w:val="32"/>
    <w:rsid w:val="00E17AFE"/>
    <w:rPr>
      <w:b/>
      <w:bCs/>
      <w:i/>
      <w:iCs/>
      <w:caps/>
      <w:color w:val="4F81BD" w:themeColor="accent1"/>
    </w:rPr>
  </w:style>
  <w:style w:type="character" w:styleId="BookTitle">
    <w:name w:val="Book Title"/>
    <w:uiPriority w:val="33"/>
    <w:rsid w:val="00E17AFE"/>
    <w:rPr>
      <w:b/>
      <w:bCs/>
      <w:i/>
      <w:iCs/>
      <w:spacing w:val="9"/>
    </w:rPr>
  </w:style>
  <w:style w:type="paragraph" w:customStyle="1" w:styleId="ListParagraph2">
    <w:name w:val="List Paragraph 2"/>
    <w:basedOn w:val="ListParagraph"/>
    <w:qFormat/>
    <w:rsid w:val="00FC1325"/>
    <w:pPr>
      <w:numPr>
        <w:ilvl w:val="1"/>
      </w:numPr>
    </w:pPr>
  </w:style>
  <w:style w:type="paragraph" w:customStyle="1" w:styleId="NumberedList">
    <w:name w:val="Numbered List"/>
    <w:basedOn w:val="HagueParagraph"/>
    <w:qFormat/>
    <w:rsid w:val="00EA6EF4"/>
  </w:style>
  <w:style w:type="paragraph" w:styleId="BodyText2">
    <w:name w:val="Body Text 2"/>
    <w:basedOn w:val="Normal"/>
    <w:link w:val="BodyText2Char"/>
    <w:uiPriority w:val="99"/>
    <w:semiHidden/>
    <w:unhideWhenUsed/>
    <w:rsid w:val="001F1CF0"/>
    <w:pPr>
      <w:spacing w:after="120" w:line="480" w:lineRule="auto"/>
    </w:pPr>
  </w:style>
  <w:style w:type="character" w:customStyle="1" w:styleId="BodyText2Char">
    <w:name w:val="Body Text 2 Char"/>
    <w:basedOn w:val="DefaultParagraphFont"/>
    <w:link w:val="BodyText2"/>
    <w:uiPriority w:val="99"/>
    <w:semiHidden/>
    <w:rsid w:val="001F1C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RSHARE_FJC/fjcshare/Editorial%20Share%20Files/Team%20Files/Susanna%20McCrea/The%20Hague%20Convention%20Project/Commentary%20Template%20-%20%20Distri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CA89-41F2-114B-98DE-98120387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Commentary Template -  District.dotx</Template>
  <TotalTime>22</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Superior Court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McCrea</dc:creator>
  <cp:lastModifiedBy>Susanna McCrea</cp:lastModifiedBy>
  <cp:revision>3</cp:revision>
  <cp:lastPrinted>2016-04-11T18:04:00Z</cp:lastPrinted>
  <dcterms:created xsi:type="dcterms:W3CDTF">2021-02-03T20:31:00Z</dcterms:created>
  <dcterms:modified xsi:type="dcterms:W3CDTF">2021-02-10T19:03:00Z</dcterms:modified>
</cp:coreProperties>
</file>